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5B" w:rsidRDefault="0001283F">
      <w:r>
        <w:t xml:space="preserve">Improving value for money is not about </w:t>
      </w:r>
      <w:r w:rsidR="004505AD">
        <w:t>delivering activities at the lowest cost</w:t>
      </w:r>
      <w:r>
        <w:t xml:space="preserve"> or creating the outcomes that are easiest to measure and monetise</w:t>
      </w:r>
      <w:r w:rsidR="00E80BEB">
        <w:t>,</w:t>
      </w:r>
      <w:r w:rsidR="003B0D6F">
        <w:t xml:space="preserve"> we </w:t>
      </w:r>
      <w:r>
        <w:t xml:space="preserve">conclude </w:t>
      </w:r>
      <w:r w:rsidR="003B0D6F">
        <w:t xml:space="preserve">in </w:t>
      </w:r>
      <w:hyperlink r:id="rId6" w:history="1">
        <w:r w:rsidRPr="00DA691F">
          <w:rPr>
            <w:rStyle w:val="Hyperlink"/>
          </w:rPr>
          <w:t xml:space="preserve">a new </w:t>
        </w:r>
        <w:r w:rsidR="00691394" w:rsidRPr="00DA691F">
          <w:rPr>
            <w:rStyle w:val="Hyperlink"/>
          </w:rPr>
          <w:t xml:space="preserve">paper </w:t>
        </w:r>
        <w:r w:rsidRPr="00DA691F">
          <w:rPr>
            <w:rStyle w:val="Hyperlink"/>
          </w:rPr>
          <w:t>by Bond</w:t>
        </w:r>
      </w:hyperlink>
      <w:r>
        <w:t xml:space="preserve">, the </w:t>
      </w:r>
      <w:r w:rsidR="00155945">
        <w:t xml:space="preserve">membership body </w:t>
      </w:r>
      <w:r w:rsidR="00E80BEB">
        <w:t>for</w:t>
      </w:r>
      <w:r>
        <w:t xml:space="preserve"> UK development NGOs.</w:t>
      </w:r>
      <w:r w:rsidR="00691394">
        <w:t xml:space="preserve"> </w:t>
      </w:r>
    </w:p>
    <w:p w:rsidR="0001283F" w:rsidRDefault="00691394">
      <w:r>
        <w:t>The paper</w:t>
      </w:r>
      <w:r w:rsidR="0001283F">
        <w:t xml:space="preserve"> moves away from looking at value for money as a donor </w:t>
      </w:r>
      <w:r w:rsidR="00155945">
        <w:t>imposition</w:t>
      </w:r>
      <w:r w:rsidR="0001283F">
        <w:t xml:space="preserve"> and </w:t>
      </w:r>
      <w:r w:rsidR="001C635B">
        <w:t xml:space="preserve">instead </w:t>
      </w:r>
      <w:r w:rsidR="00155945">
        <w:t>frames</w:t>
      </w:r>
      <w:r w:rsidR="0001283F">
        <w:t xml:space="preserve"> </w:t>
      </w:r>
      <w:r w:rsidR="00E80BEB">
        <w:t xml:space="preserve">it </w:t>
      </w:r>
      <w:r w:rsidR="0001283F">
        <w:t xml:space="preserve">as an opportunity for NGOs to </w:t>
      </w:r>
      <w:r>
        <w:t>improve the consistency and ro</w:t>
      </w:r>
      <w:r w:rsidR="004505AD">
        <w:t xml:space="preserve">bustness of how they assess, </w:t>
      </w:r>
      <w:r>
        <w:t xml:space="preserve">demonstrate </w:t>
      </w:r>
      <w:r w:rsidR="004505AD">
        <w:t xml:space="preserve">and strengthen </w:t>
      </w:r>
      <w:r>
        <w:t xml:space="preserve">the effectiveness of their work. </w:t>
      </w:r>
    </w:p>
    <w:p w:rsidR="001C635B" w:rsidRPr="009F1C0A" w:rsidRDefault="00882753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CA60AF" wp14:editId="1AEBDD2A">
            <wp:simplePos x="0" y="0"/>
            <wp:positionH relativeFrom="column">
              <wp:posOffset>3800475</wp:posOffset>
            </wp:positionH>
            <wp:positionV relativeFrom="paragraph">
              <wp:posOffset>217170</wp:posOffset>
            </wp:positionV>
            <wp:extent cx="4067175" cy="2807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ueForMoneyTriang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Developing a new framework for value for money</w:t>
      </w:r>
    </w:p>
    <w:p w:rsidR="00E80BEB" w:rsidRDefault="0001283F">
      <w:r>
        <w:t>Building on</w:t>
      </w:r>
      <w:r w:rsidR="004505AD">
        <w:t xml:space="preserve"> examples draw</w:t>
      </w:r>
      <w:r>
        <w:t>n from the current practice of UK development NGOs</w:t>
      </w:r>
      <w:r w:rsidR="00E80BEB">
        <w:t>,</w:t>
      </w:r>
      <w:r w:rsidR="00691394">
        <w:t xml:space="preserve"> the paper presents a framework to help NGOs navigate the value for money agenda and identify which approaches and methods are best suited to their needs. The framework identif</w:t>
      </w:r>
      <w:r w:rsidR="004505AD">
        <w:t>ies three areas that</w:t>
      </w:r>
      <w:r w:rsidR="00691394">
        <w:t xml:space="preserve"> UK NGOs should focus on to deliver and improve value for money</w:t>
      </w:r>
      <w:r w:rsidR="00E80BEB">
        <w:t>:</w:t>
      </w:r>
    </w:p>
    <w:p w:rsidR="00E80BEB" w:rsidRDefault="00691394" w:rsidP="009F1C0A">
      <w:pPr>
        <w:pStyle w:val="ListParagraph"/>
        <w:numPr>
          <w:ilvl w:val="0"/>
          <w:numId w:val="1"/>
        </w:numPr>
      </w:pPr>
      <w:r>
        <w:t>the systems and processes in place for managing value for money</w:t>
      </w:r>
    </w:p>
    <w:p w:rsidR="00E80BEB" w:rsidRDefault="00691394" w:rsidP="009F1C0A">
      <w:pPr>
        <w:pStyle w:val="ListParagraph"/>
        <w:numPr>
          <w:ilvl w:val="0"/>
          <w:numId w:val="1"/>
        </w:numPr>
      </w:pPr>
      <w:r>
        <w:t>the approaches they use to compare value for money between activities</w:t>
      </w:r>
    </w:p>
    <w:p w:rsidR="00E80BEB" w:rsidRDefault="00691394" w:rsidP="009F1C0A">
      <w:pPr>
        <w:pStyle w:val="ListParagraph"/>
        <w:numPr>
          <w:ilvl w:val="0"/>
          <w:numId w:val="1"/>
        </w:numPr>
      </w:pPr>
      <w:r>
        <w:t>the use of evaluations to demonstrate value for money</w:t>
      </w:r>
    </w:p>
    <w:p w:rsidR="00E80BEB" w:rsidRDefault="00E80BEB"/>
    <w:p w:rsidR="0001283F" w:rsidRDefault="00691394">
      <w:r>
        <w:t xml:space="preserve">There is no one size fits all approach, as the range of different methodologies being used across the sector shows. </w:t>
      </w:r>
    </w:p>
    <w:p w:rsidR="00370457" w:rsidRDefault="00E016A4">
      <w:r>
        <w:t>W</w:t>
      </w:r>
      <w:r w:rsidR="00155945">
        <w:t>hile the language of value for money may be new, many of the methods and approaches used to realise it are not.  T</w:t>
      </w:r>
      <w:r w:rsidR="00282159">
        <w:t xml:space="preserve">ransparent </w:t>
      </w:r>
      <w:r w:rsidR="00691394">
        <w:t xml:space="preserve">procurement, </w:t>
      </w:r>
      <w:r w:rsidR="00282159">
        <w:t>monitoring expenditure</w:t>
      </w:r>
      <w:r w:rsidR="00155945">
        <w:t xml:space="preserve">, </w:t>
      </w:r>
      <w:r w:rsidR="00282159">
        <w:t xml:space="preserve">avoiding corruption, </w:t>
      </w:r>
      <w:r w:rsidR="00155945">
        <w:t>should already be very familiar to many NGOs</w:t>
      </w:r>
      <w:r w:rsidR="00282159">
        <w:t>.</w:t>
      </w:r>
      <w:r>
        <w:t xml:space="preserve">  </w:t>
      </w:r>
    </w:p>
    <w:p w:rsidR="001C635B" w:rsidRPr="009F1C0A" w:rsidRDefault="00882753">
      <w:pPr>
        <w:rPr>
          <w:b/>
        </w:rPr>
      </w:pPr>
      <w:r>
        <w:rPr>
          <w:b/>
        </w:rPr>
        <w:t xml:space="preserve">Do we really need econometric modelling? </w:t>
      </w:r>
      <w:bookmarkStart w:id="0" w:name="_GoBack"/>
      <w:bookmarkEnd w:id="0"/>
    </w:p>
    <w:p w:rsidR="00E80BEB" w:rsidRDefault="003B0D6F">
      <w:r>
        <w:t xml:space="preserve">Perhaps the </w:t>
      </w:r>
      <w:r w:rsidR="00370457">
        <w:t>newest element of the v</w:t>
      </w:r>
      <w:r w:rsidR="00E016A4">
        <w:t xml:space="preserve">alue for money agenda </w:t>
      </w:r>
      <w:r>
        <w:t xml:space="preserve">(and the one that most NGOs are most wary of) </w:t>
      </w:r>
      <w:r w:rsidR="00E016A4">
        <w:t>is the use and promotion of e</w:t>
      </w:r>
      <w:r w:rsidR="00B339D7">
        <w:t xml:space="preserve">conometric modelling and methods such as Cost Benefit Analysis or Social Return on Investment studies </w:t>
      </w:r>
      <w:r w:rsidR="00E016A4">
        <w:t>as a way of</w:t>
      </w:r>
      <w:r w:rsidR="00B339D7">
        <w:t xml:space="preserve"> demonstrating value for money.</w:t>
      </w:r>
      <w:r w:rsidR="00B94F7C">
        <w:t xml:space="preserve">  </w:t>
      </w:r>
      <w:r>
        <w:t>In t</w:t>
      </w:r>
      <w:r w:rsidR="00B94F7C">
        <w:t>he paper</w:t>
      </w:r>
      <w:r>
        <w:t xml:space="preserve"> we are clear</w:t>
      </w:r>
      <w:r w:rsidR="00E016A4">
        <w:t xml:space="preserve"> that while these methods may work in some situations, they are not suited to every context and there are other</w:t>
      </w:r>
      <w:r w:rsidR="00370457">
        <w:t xml:space="preserve"> similarly</w:t>
      </w:r>
      <w:r w:rsidR="00E016A4">
        <w:t xml:space="preserve"> robust ways of demonstrating </w:t>
      </w:r>
      <w:r w:rsidR="00E80BEB">
        <w:t>value for money</w:t>
      </w:r>
      <w:r w:rsidR="00E016A4">
        <w:t xml:space="preserve"> which do not require monetisation</w:t>
      </w:r>
      <w:r w:rsidR="00601AB4">
        <w:t xml:space="preserve"> of outcomes</w:t>
      </w:r>
      <w:r w:rsidR="00E016A4">
        <w:t xml:space="preserve">.  </w:t>
      </w:r>
    </w:p>
    <w:p w:rsidR="00691394" w:rsidRDefault="00E016A4">
      <w:r>
        <w:t xml:space="preserve">For example, </w:t>
      </w:r>
      <w:r w:rsidR="00B339D7">
        <w:t xml:space="preserve">an evaluation of an NGO’s programmes which combines </w:t>
      </w:r>
      <w:r w:rsidR="00C430E6">
        <w:t>high quality</w:t>
      </w:r>
      <w:r w:rsidR="00B339D7">
        <w:t xml:space="preserve"> quantitative and qualitative evidence of outcomes and impact with strong evidence of economy and efficiency on the </w:t>
      </w:r>
      <w:r w:rsidR="00B339D7">
        <w:lastRenderedPageBreak/>
        <w:t>cost side can also provide a powerful evidence base for demonstrating value for money.</w:t>
      </w:r>
      <w:r w:rsidR="00370457">
        <w:t xml:space="preserve"> </w:t>
      </w:r>
      <w:r w:rsidR="00BE1E9E">
        <w:t>It is important that we do not</w:t>
      </w:r>
      <w:r w:rsidR="00370457">
        <w:t xml:space="preserve"> overcomplicate</w:t>
      </w:r>
      <w:r w:rsidR="003B0D6F">
        <w:t xml:space="preserve"> what it means to demonstrate </w:t>
      </w:r>
      <w:r w:rsidR="00370457">
        <w:t xml:space="preserve">value for money; ultimately it </w:t>
      </w:r>
      <w:r w:rsidR="00B94F7C">
        <w:t>should be about NG</w:t>
      </w:r>
      <w:r w:rsidR="00370457">
        <w:t>Os</w:t>
      </w:r>
      <w:r w:rsidR="00B94F7C">
        <w:t xml:space="preserve"> explain</w:t>
      </w:r>
      <w:r w:rsidR="00370457">
        <w:t>ing</w:t>
      </w:r>
      <w:r w:rsidR="00B94F7C">
        <w:t xml:space="preserve"> their cost, robustly </w:t>
      </w:r>
      <w:r w:rsidR="00370457">
        <w:t>describing</w:t>
      </w:r>
      <w:r w:rsidR="00B94F7C">
        <w:t xml:space="preserve"> their results and justify</w:t>
      </w:r>
      <w:r w:rsidR="00370457">
        <w:t>ing</w:t>
      </w:r>
      <w:r w:rsidR="00B94F7C">
        <w:t xml:space="preserve"> the relationship between the two. </w:t>
      </w:r>
      <w:r w:rsidR="00601AB4">
        <w:t xml:space="preserve">You don’t need an economic model to do this well.  </w:t>
      </w:r>
    </w:p>
    <w:p w:rsidR="001C635B" w:rsidRDefault="00882753">
      <w:r>
        <w:rPr>
          <w:b/>
        </w:rPr>
        <w:t>Putting beneficiaries at the heart of value for money</w:t>
      </w:r>
    </w:p>
    <w:p w:rsidR="008B2BC5" w:rsidRDefault="00E016A4">
      <w:r>
        <w:t>The paper also argues that l</w:t>
      </w:r>
      <w:r w:rsidR="001734A2">
        <w:t xml:space="preserve">istening to the </w:t>
      </w:r>
      <w:r w:rsidR="00B339D7">
        <w:t>voices and focussing on the priorities of beneficiaries</w:t>
      </w:r>
      <w:r w:rsidR="001734A2">
        <w:t xml:space="preserve"> is </w:t>
      </w:r>
      <w:proofErr w:type="gramStart"/>
      <w:r w:rsidR="001734A2">
        <w:t>key</w:t>
      </w:r>
      <w:proofErr w:type="gramEnd"/>
      <w:r w:rsidR="001734A2">
        <w:t xml:space="preserve"> to achieving value for money</w:t>
      </w:r>
      <w:r w:rsidR="00B339D7">
        <w:t xml:space="preserve">. The </w:t>
      </w:r>
      <w:hyperlink r:id="rId8" w:history="1">
        <w:r w:rsidR="00B339D7" w:rsidRPr="00DA691F">
          <w:rPr>
            <w:rStyle w:val="Hyperlink"/>
          </w:rPr>
          <w:t>practical resource on incorporating value for money into the programme cycle</w:t>
        </w:r>
      </w:hyperlink>
      <w:r w:rsidR="00B339D7">
        <w:t xml:space="preserve"> which accompanies the</w:t>
      </w:r>
      <w:r w:rsidR="00DA691F">
        <w:t xml:space="preserve"> Bond</w:t>
      </w:r>
      <w:r w:rsidR="00B339D7">
        <w:t xml:space="preserve"> paper looks at how beneficiary participation</w:t>
      </w:r>
      <w:r w:rsidR="0001283F">
        <w:t xml:space="preserve"> </w:t>
      </w:r>
      <w:r w:rsidR="00B339D7">
        <w:t xml:space="preserve">throughout the programme cycle is crucial for building a </w:t>
      </w:r>
      <w:r w:rsidR="00C430E6">
        <w:t>strong case for</w:t>
      </w:r>
      <w:r w:rsidR="00B339D7">
        <w:t xml:space="preserve"> value for money. </w:t>
      </w:r>
      <w:r w:rsidR="00C0559F">
        <w:t xml:space="preserve">  This is in line with the </w:t>
      </w:r>
      <w:hyperlink r:id="rId9" w:history="1">
        <w:r w:rsidR="00D54602" w:rsidRPr="00DA691F">
          <w:rPr>
            <w:rStyle w:val="Hyperlink"/>
          </w:rPr>
          <w:t>Independent Commission for Aid Impact’s</w:t>
        </w:r>
        <w:r w:rsidR="005E6685" w:rsidRPr="00DA691F">
          <w:rPr>
            <w:rStyle w:val="Hyperlink"/>
          </w:rPr>
          <w:t xml:space="preserve"> new report</w:t>
        </w:r>
      </w:hyperlink>
      <w:r w:rsidR="005E6685">
        <w:t xml:space="preserve"> on value for m</w:t>
      </w:r>
      <w:r w:rsidR="00D54602">
        <w:t xml:space="preserve">oney </w:t>
      </w:r>
      <w:r w:rsidR="00C0559F">
        <w:t xml:space="preserve">which argues for value for money to be a balance between economy, efficiency, effectiveness and equity.  </w:t>
      </w:r>
      <w:r w:rsidR="00F572FC">
        <w:t>Equity</w:t>
      </w:r>
      <w:r w:rsidR="00DA691F">
        <w:t xml:space="preserve">, assuring that benefits are distributed fairly, </w:t>
      </w:r>
      <w:r w:rsidR="0001283F">
        <w:t xml:space="preserve">speaks to the </w:t>
      </w:r>
      <w:r w:rsidR="00D54602">
        <w:t xml:space="preserve">central </w:t>
      </w:r>
      <w:r w:rsidR="0001283F">
        <w:t xml:space="preserve">place of </w:t>
      </w:r>
      <w:r w:rsidR="00D54602">
        <w:t xml:space="preserve">poor and marginalised </w:t>
      </w:r>
      <w:r w:rsidR="0001283F">
        <w:t>beneficiaries in the value for money debate.</w:t>
      </w:r>
      <w:r w:rsidR="008B2BC5">
        <w:t xml:space="preserve"> </w:t>
      </w:r>
    </w:p>
    <w:p w:rsidR="001C635B" w:rsidRPr="009F1C0A" w:rsidRDefault="00882753">
      <w:pPr>
        <w:rPr>
          <w:b/>
        </w:rPr>
      </w:pPr>
      <w:r>
        <w:rPr>
          <w:b/>
        </w:rPr>
        <w:t>Join the debate</w:t>
      </w:r>
    </w:p>
    <w:p w:rsidR="00097CB7" w:rsidRDefault="00097CB7">
      <w:r>
        <w:t xml:space="preserve">We hope that this paper generates discussion and is useful to NGOs and others in shaping the way they approach value for money. We welcome </w:t>
      </w:r>
      <w:r w:rsidR="00E80BEB">
        <w:t xml:space="preserve">your </w:t>
      </w:r>
      <w:r>
        <w:t xml:space="preserve">feedback and experiences of using the framework and tool. </w:t>
      </w:r>
    </w:p>
    <w:p w:rsidR="005E6685" w:rsidRDefault="005E6685"/>
    <w:sectPr w:rsidR="005E6685" w:rsidSect="00312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7023"/>
    <w:multiLevelType w:val="hybridMultilevel"/>
    <w:tmpl w:val="6534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85"/>
    <w:rsid w:val="0001283F"/>
    <w:rsid w:val="00097CB7"/>
    <w:rsid w:val="00155945"/>
    <w:rsid w:val="001734A2"/>
    <w:rsid w:val="001C635B"/>
    <w:rsid w:val="00282159"/>
    <w:rsid w:val="00310F8D"/>
    <w:rsid w:val="003120EC"/>
    <w:rsid w:val="00322A01"/>
    <w:rsid w:val="00370457"/>
    <w:rsid w:val="003B0D6F"/>
    <w:rsid w:val="004505AD"/>
    <w:rsid w:val="005E6685"/>
    <w:rsid w:val="00601AB4"/>
    <w:rsid w:val="00691394"/>
    <w:rsid w:val="00882753"/>
    <w:rsid w:val="008B2BC5"/>
    <w:rsid w:val="009F1C0A"/>
    <w:rsid w:val="00A858C9"/>
    <w:rsid w:val="00B339D7"/>
    <w:rsid w:val="00B902EE"/>
    <w:rsid w:val="00B94F7C"/>
    <w:rsid w:val="00BE1E9E"/>
    <w:rsid w:val="00C0559F"/>
    <w:rsid w:val="00C430E6"/>
    <w:rsid w:val="00D54602"/>
    <w:rsid w:val="00DA691F"/>
    <w:rsid w:val="00E016A4"/>
    <w:rsid w:val="00E80BEB"/>
    <w:rsid w:val="00ED17F0"/>
    <w:rsid w:val="00F24C2D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69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69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d.org.uk/pages/value-for-money-resource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d.org.uk/pages/value-for-money-resource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cai.independent.gov.uk/wp-content/uploads/2010/11/ICAIs-Approach-to-Effectiveness-and-VF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 Foxell</dc:creator>
  <cp:lastModifiedBy>Mischa Foxell</cp:lastModifiedBy>
  <cp:revision>3</cp:revision>
  <dcterms:created xsi:type="dcterms:W3CDTF">2012-01-27T17:41:00Z</dcterms:created>
  <dcterms:modified xsi:type="dcterms:W3CDTF">2012-01-27T17:41:00Z</dcterms:modified>
</cp:coreProperties>
</file>